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F956F" w14:textId="77777777" w:rsidR="006666B1" w:rsidRDefault="006666B1">
      <w:pPr>
        <w:spacing w:before="120" w:after="240"/>
        <w:jc w:val="center"/>
        <w:rPr>
          <w:color w:val="000000"/>
        </w:rPr>
      </w:pPr>
    </w:p>
    <w:p w14:paraId="2E316F1F" w14:textId="3980BA93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MATRIZ DE RISCOS</w:t>
      </w:r>
    </w:p>
    <w:p w14:paraId="4E277E87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81F94FA" w14:textId="6993106A" w:rsid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Objeto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BB08F2">
        <w:rPr>
          <w:rFonts w:ascii="Arial" w:eastAsia="Times New Roman" w:hAnsi="Arial" w:cs="Arial"/>
          <w:sz w:val="24"/>
          <w:szCs w:val="24"/>
          <w:lang w:eastAsia="pt-BR"/>
        </w:rPr>
        <w:t>A</w:t>
      </w:r>
      <w:r w:rsidR="00BB08F2" w:rsidRPr="00BB08F2">
        <w:rPr>
          <w:rFonts w:ascii="Arial" w:eastAsia="Times New Roman" w:hAnsi="Arial" w:cs="Arial"/>
          <w:sz w:val="24"/>
          <w:szCs w:val="24"/>
          <w:lang w:eastAsia="pt-BR"/>
        </w:rPr>
        <w:t xml:space="preserve">quisição de </w:t>
      </w:r>
      <w:r w:rsidR="006A30AE">
        <w:rPr>
          <w:rFonts w:ascii="Arial" w:eastAsia="Times New Roman" w:hAnsi="Arial" w:cs="Arial"/>
          <w:sz w:val="24"/>
          <w:szCs w:val="24"/>
          <w:lang w:eastAsia="pt-BR"/>
        </w:rPr>
        <w:t>materiais de consumo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Modalidade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BB08F2">
        <w:rPr>
          <w:rFonts w:ascii="Arial" w:eastAsia="Times New Roman" w:hAnsi="Arial" w:cs="Arial"/>
          <w:sz w:val="24"/>
          <w:szCs w:val="24"/>
          <w:lang w:eastAsia="pt-BR"/>
        </w:rPr>
        <w:t>Pregão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Vigência contratual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>
        <w:rPr>
          <w:rFonts w:ascii="Arial" w:eastAsia="Times New Roman" w:hAnsi="Arial" w:cs="Arial"/>
          <w:sz w:val="24"/>
          <w:szCs w:val="24"/>
          <w:lang w:eastAsia="pt-BR"/>
        </w:rPr>
        <w:t>12 meses</w:t>
      </w:r>
    </w:p>
    <w:p w14:paraId="5C727E2E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14:paraId="2EA2FB8F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1. Conceito Legal</w:t>
      </w:r>
    </w:p>
    <w:p w14:paraId="3D997464" w14:textId="77777777" w:rsidR="002855CD" w:rsidRPr="002855CD" w:rsidRDefault="002855CD" w:rsidP="002855CD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A Matriz de Riscos é o instrumento que define a alocação objetiva dos riscos entre a Administração Pública e o contratado, indicando:</w:t>
      </w:r>
    </w:p>
    <w:p w14:paraId="4312F931" w14:textId="77777777" w:rsidR="002855CD" w:rsidRPr="002855CD" w:rsidRDefault="002855CD" w:rsidP="002855CD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Eventos supervenientes;</w:t>
      </w:r>
    </w:p>
    <w:p w14:paraId="49EEB6F9" w14:textId="77777777" w:rsidR="002855CD" w:rsidRPr="002855CD" w:rsidRDefault="002855CD" w:rsidP="002855CD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Responsável pelo risco;</w:t>
      </w:r>
    </w:p>
    <w:p w14:paraId="65EE570E" w14:textId="77777777" w:rsidR="002855CD" w:rsidRPr="002855CD" w:rsidRDefault="002855CD" w:rsidP="002855CD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Consequências econômico-financeiras;</w:t>
      </w:r>
    </w:p>
    <w:p w14:paraId="038EA3CF" w14:textId="77777777" w:rsidR="002855CD" w:rsidRPr="002855CD" w:rsidRDefault="002855CD" w:rsidP="002855CD">
      <w:pPr>
        <w:numPr>
          <w:ilvl w:val="0"/>
          <w:numId w:val="1"/>
        </w:num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>Medidas de mitigação.</w:t>
      </w:r>
    </w:p>
    <w:p w14:paraId="2332CEAE" w14:textId="14045E0E" w:rsidR="00BB3816" w:rsidRPr="002855CD" w:rsidRDefault="002855CD" w:rsidP="00BB3816">
      <w:pPr>
        <w:contextualSpacing/>
        <w:rPr>
          <w:rFonts w:ascii="Arial" w:eastAsia="Arial" w:hAnsi="Arial" w:cs="Arial"/>
          <w:b/>
          <w:bCs/>
          <w:sz w:val="24"/>
          <w:szCs w:val="24"/>
        </w:rPr>
      </w:pPr>
      <w:r w:rsidRPr="002855CD">
        <w:rPr>
          <w:rFonts w:ascii="Arial" w:hAnsi="Arial" w:cs="Arial"/>
          <w:b/>
          <w:bCs/>
          <w:sz w:val="24"/>
          <w:szCs w:val="24"/>
        </w:rPr>
        <w:t>2. Matriz de Alocação de Riscos</w:t>
      </w:r>
    </w:p>
    <w:p w14:paraId="20605609" w14:textId="77777777" w:rsidR="002855CD" w:rsidRDefault="00BB3816" w:rsidP="008146D0">
      <w:pPr>
        <w:rPr>
          <w:rFonts w:ascii="Arial" w:eastAsia="Arial" w:hAnsi="Arial" w:cs="Arial"/>
          <w:sz w:val="24"/>
          <w:szCs w:val="24"/>
        </w:rPr>
      </w:pPr>
      <w:r w:rsidRPr="441DCC60">
        <w:rPr>
          <w:rFonts w:ascii="Arial" w:eastAsia="Arial" w:hAnsi="Arial" w:cs="Arial"/>
          <w:sz w:val="24"/>
          <w:szCs w:val="24"/>
        </w:rPr>
        <w:t xml:space="preserve"> </w:t>
      </w:r>
    </w:p>
    <w:tbl>
      <w:tblPr>
        <w:tblW w:w="9640" w:type="dxa"/>
        <w:tblCellSpacing w:w="1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"/>
        <w:gridCol w:w="1868"/>
        <w:gridCol w:w="1748"/>
        <w:gridCol w:w="1667"/>
        <w:gridCol w:w="1001"/>
        <w:gridCol w:w="734"/>
        <w:gridCol w:w="2002"/>
        <w:gridCol w:w="1616"/>
      </w:tblGrid>
      <w:tr w:rsidR="006A30AE" w:rsidRPr="006A30AE" w14:paraId="12B7AA80" w14:textId="77777777" w:rsidTr="006A30AE">
        <w:trPr>
          <w:tblHeader/>
          <w:tblCellSpacing w:w="15" w:type="dxa"/>
        </w:trPr>
        <w:tc>
          <w:tcPr>
            <w:tcW w:w="274" w:type="dxa"/>
            <w:vAlign w:val="center"/>
            <w:hideMark/>
          </w:tcPr>
          <w:p w14:paraId="69D046A7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b/>
                <w:bCs/>
                <w:sz w:val="24"/>
                <w:szCs w:val="24"/>
              </w:rPr>
              <w:t>Nº</w:t>
            </w:r>
          </w:p>
        </w:tc>
        <w:tc>
          <w:tcPr>
            <w:tcW w:w="0" w:type="auto"/>
            <w:vAlign w:val="center"/>
            <w:hideMark/>
          </w:tcPr>
          <w:p w14:paraId="76336D00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b/>
                <w:bCs/>
                <w:sz w:val="24"/>
                <w:szCs w:val="24"/>
              </w:rPr>
              <w:t>Risco Identificado</w:t>
            </w:r>
          </w:p>
        </w:tc>
        <w:tc>
          <w:tcPr>
            <w:tcW w:w="0" w:type="auto"/>
            <w:vAlign w:val="center"/>
            <w:hideMark/>
          </w:tcPr>
          <w:p w14:paraId="2DE98E44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b/>
                <w:bCs/>
                <w:sz w:val="24"/>
                <w:szCs w:val="24"/>
              </w:rPr>
              <w:t>Causa</w:t>
            </w:r>
          </w:p>
        </w:tc>
        <w:tc>
          <w:tcPr>
            <w:tcW w:w="0" w:type="auto"/>
            <w:vAlign w:val="center"/>
            <w:hideMark/>
          </w:tcPr>
          <w:p w14:paraId="74038484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Probabilidade</w:t>
            </w:r>
          </w:p>
        </w:tc>
        <w:tc>
          <w:tcPr>
            <w:tcW w:w="0" w:type="auto"/>
            <w:vAlign w:val="center"/>
            <w:hideMark/>
          </w:tcPr>
          <w:p w14:paraId="45FFB689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7E0A85E6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b/>
                <w:bCs/>
                <w:sz w:val="24"/>
                <w:szCs w:val="24"/>
              </w:rPr>
              <w:t>Nível de Risco</w:t>
            </w:r>
          </w:p>
        </w:tc>
        <w:tc>
          <w:tcPr>
            <w:tcW w:w="0" w:type="auto"/>
            <w:vAlign w:val="center"/>
            <w:hideMark/>
          </w:tcPr>
          <w:p w14:paraId="74BFCA7A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b/>
                <w:bCs/>
                <w:sz w:val="24"/>
                <w:szCs w:val="24"/>
              </w:rPr>
              <w:t>Medidas Preventivas</w:t>
            </w:r>
          </w:p>
        </w:tc>
        <w:tc>
          <w:tcPr>
            <w:tcW w:w="1618" w:type="dxa"/>
            <w:vAlign w:val="center"/>
            <w:hideMark/>
          </w:tcPr>
          <w:p w14:paraId="7CC7A952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Plano de Contingência</w:t>
            </w:r>
          </w:p>
        </w:tc>
      </w:tr>
      <w:tr w:rsidR="006A30AE" w:rsidRPr="006A30AE" w14:paraId="6086C6D9" w14:textId="77777777" w:rsidTr="006A30AE">
        <w:trPr>
          <w:tblCellSpacing w:w="15" w:type="dxa"/>
        </w:trPr>
        <w:tc>
          <w:tcPr>
            <w:tcW w:w="274" w:type="dxa"/>
            <w:vAlign w:val="center"/>
            <w:hideMark/>
          </w:tcPr>
          <w:p w14:paraId="2B149FC8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14286BC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Especificação inadequada dos itens</w:t>
            </w:r>
          </w:p>
        </w:tc>
        <w:tc>
          <w:tcPr>
            <w:tcW w:w="0" w:type="auto"/>
            <w:vAlign w:val="center"/>
            <w:hideMark/>
          </w:tcPr>
          <w:p w14:paraId="0037B44A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Falta de detalhamento técnico no termo de referência</w:t>
            </w:r>
          </w:p>
        </w:tc>
        <w:tc>
          <w:tcPr>
            <w:tcW w:w="0" w:type="auto"/>
            <w:vAlign w:val="center"/>
            <w:hideMark/>
          </w:tcPr>
          <w:p w14:paraId="740C3420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1338A724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F70C726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494EA0D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Elaborar termo de referência claro e objetivo, com descrição detalhada dos produtos</w:t>
            </w:r>
          </w:p>
        </w:tc>
        <w:tc>
          <w:tcPr>
            <w:tcW w:w="1618" w:type="dxa"/>
            <w:vAlign w:val="center"/>
            <w:hideMark/>
          </w:tcPr>
          <w:p w14:paraId="7FE3C844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Revisão técnica antes da publicação e eventual retificação do edital</w:t>
            </w:r>
          </w:p>
        </w:tc>
      </w:tr>
      <w:tr w:rsidR="006A30AE" w:rsidRPr="006A30AE" w14:paraId="5415FEA1" w14:textId="77777777" w:rsidTr="006A30AE">
        <w:trPr>
          <w:tblCellSpacing w:w="15" w:type="dxa"/>
        </w:trPr>
        <w:tc>
          <w:tcPr>
            <w:tcW w:w="274" w:type="dxa"/>
            <w:vAlign w:val="center"/>
            <w:hideMark/>
          </w:tcPr>
          <w:p w14:paraId="2D874D46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AAC331F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Sobrepreço nas propostas</w:t>
            </w:r>
          </w:p>
        </w:tc>
        <w:tc>
          <w:tcPr>
            <w:tcW w:w="0" w:type="auto"/>
            <w:vAlign w:val="center"/>
            <w:hideMark/>
          </w:tcPr>
          <w:p w14:paraId="7B320B0B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Pesquisa de mercado insuficiente ou desatualizada</w:t>
            </w:r>
          </w:p>
        </w:tc>
        <w:tc>
          <w:tcPr>
            <w:tcW w:w="0" w:type="auto"/>
            <w:vAlign w:val="center"/>
            <w:hideMark/>
          </w:tcPr>
          <w:p w14:paraId="49DE9C95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7C29D611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6C06577D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A57466D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Realizar ampla pesquisa de preços com múltiplas fontes</w:t>
            </w:r>
          </w:p>
        </w:tc>
        <w:tc>
          <w:tcPr>
            <w:tcW w:w="1618" w:type="dxa"/>
            <w:vAlign w:val="center"/>
            <w:hideMark/>
          </w:tcPr>
          <w:p w14:paraId="1135B2B8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Negociação e eventual revogação do certame</w:t>
            </w:r>
          </w:p>
        </w:tc>
      </w:tr>
      <w:tr w:rsidR="006A30AE" w:rsidRPr="006A30AE" w14:paraId="6A3ED1A0" w14:textId="77777777" w:rsidTr="006A30AE">
        <w:trPr>
          <w:tblCellSpacing w:w="15" w:type="dxa"/>
        </w:trPr>
        <w:tc>
          <w:tcPr>
            <w:tcW w:w="274" w:type="dxa"/>
            <w:vAlign w:val="center"/>
            <w:hideMark/>
          </w:tcPr>
          <w:p w14:paraId="6AD652C2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B31C860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Desclassificação de fornecedores</w:t>
            </w:r>
          </w:p>
        </w:tc>
        <w:tc>
          <w:tcPr>
            <w:tcW w:w="0" w:type="auto"/>
            <w:vAlign w:val="center"/>
            <w:hideMark/>
          </w:tcPr>
          <w:p w14:paraId="7FE0D3ED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Exigências excessivas no edital</w:t>
            </w:r>
          </w:p>
        </w:tc>
        <w:tc>
          <w:tcPr>
            <w:tcW w:w="0" w:type="auto"/>
            <w:vAlign w:val="center"/>
            <w:hideMark/>
          </w:tcPr>
          <w:p w14:paraId="6F2F2F1E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002F9434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3C553D92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2D27EA1A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 xml:space="preserve">Definir critérios de habilitação </w:t>
            </w:r>
            <w:r w:rsidRPr="006A30AE">
              <w:rPr>
                <w:rFonts w:ascii="Arial" w:eastAsia="Arial" w:hAnsi="Arial" w:cs="Arial"/>
                <w:sz w:val="24"/>
                <w:szCs w:val="24"/>
              </w:rPr>
              <w:lastRenderedPageBreak/>
              <w:t>proporcionais ao objeto</w:t>
            </w:r>
          </w:p>
        </w:tc>
        <w:tc>
          <w:tcPr>
            <w:tcW w:w="1618" w:type="dxa"/>
            <w:vAlign w:val="center"/>
            <w:hideMark/>
          </w:tcPr>
          <w:p w14:paraId="6F4CA40F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lastRenderedPageBreak/>
              <w:t>Revisão do edital e republicação</w:t>
            </w:r>
          </w:p>
        </w:tc>
      </w:tr>
      <w:tr w:rsidR="006A30AE" w:rsidRPr="006A30AE" w14:paraId="75421829" w14:textId="77777777" w:rsidTr="006A30AE">
        <w:trPr>
          <w:tblCellSpacing w:w="15" w:type="dxa"/>
        </w:trPr>
        <w:tc>
          <w:tcPr>
            <w:tcW w:w="274" w:type="dxa"/>
            <w:vAlign w:val="center"/>
            <w:hideMark/>
          </w:tcPr>
          <w:p w14:paraId="06FCE2D6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E96DAF3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Atraso no processo licitatório</w:t>
            </w:r>
          </w:p>
        </w:tc>
        <w:tc>
          <w:tcPr>
            <w:tcW w:w="0" w:type="auto"/>
            <w:vAlign w:val="center"/>
            <w:hideMark/>
          </w:tcPr>
          <w:p w14:paraId="6C5A6063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Falhas na condução processual ou excesso de burocracia</w:t>
            </w:r>
          </w:p>
        </w:tc>
        <w:tc>
          <w:tcPr>
            <w:tcW w:w="0" w:type="auto"/>
            <w:vAlign w:val="center"/>
            <w:hideMark/>
          </w:tcPr>
          <w:p w14:paraId="62309413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7CAD7C22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26801F63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1C40D655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Planejamento prévio e acompanhamento do cronograma</w:t>
            </w:r>
          </w:p>
        </w:tc>
        <w:tc>
          <w:tcPr>
            <w:tcW w:w="1618" w:type="dxa"/>
            <w:vAlign w:val="center"/>
            <w:hideMark/>
          </w:tcPr>
          <w:p w14:paraId="7E6B4BA6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Readequação de prazos e priorização do processo</w:t>
            </w:r>
          </w:p>
        </w:tc>
      </w:tr>
      <w:tr w:rsidR="006A30AE" w:rsidRPr="006A30AE" w14:paraId="497B3EE6" w14:textId="77777777" w:rsidTr="006A30AE">
        <w:trPr>
          <w:tblCellSpacing w:w="15" w:type="dxa"/>
        </w:trPr>
        <w:tc>
          <w:tcPr>
            <w:tcW w:w="274" w:type="dxa"/>
            <w:vAlign w:val="center"/>
            <w:hideMark/>
          </w:tcPr>
          <w:p w14:paraId="03A5DCA7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D0E9A9C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Fornecimento de produtos de baixa qualidade</w:t>
            </w:r>
          </w:p>
        </w:tc>
        <w:tc>
          <w:tcPr>
            <w:tcW w:w="0" w:type="auto"/>
            <w:vAlign w:val="center"/>
            <w:hideMark/>
          </w:tcPr>
          <w:p w14:paraId="044DFF09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Falta de controle na entrega ou especificações vagas</w:t>
            </w:r>
          </w:p>
        </w:tc>
        <w:tc>
          <w:tcPr>
            <w:tcW w:w="0" w:type="auto"/>
            <w:vAlign w:val="center"/>
            <w:hideMark/>
          </w:tcPr>
          <w:p w14:paraId="3F3D9DC3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39DA2319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00814715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A90B1AA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Definir padrões de qualidade e critérios de aceitação</w:t>
            </w:r>
          </w:p>
        </w:tc>
        <w:tc>
          <w:tcPr>
            <w:tcW w:w="1618" w:type="dxa"/>
            <w:vAlign w:val="center"/>
            <w:hideMark/>
          </w:tcPr>
          <w:p w14:paraId="1BFCBA13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Recusa do material e aplicação de sanções contratuais</w:t>
            </w:r>
          </w:p>
        </w:tc>
      </w:tr>
      <w:tr w:rsidR="006A30AE" w:rsidRPr="006A30AE" w14:paraId="3B3C4E54" w14:textId="77777777" w:rsidTr="006A30AE">
        <w:trPr>
          <w:tblCellSpacing w:w="15" w:type="dxa"/>
        </w:trPr>
        <w:tc>
          <w:tcPr>
            <w:tcW w:w="274" w:type="dxa"/>
            <w:vAlign w:val="center"/>
            <w:hideMark/>
          </w:tcPr>
          <w:p w14:paraId="1828C8C9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6FAB8894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Inexecução contratual</w:t>
            </w:r>
          </w:p>
        </w:tc>
        <w:tc>
          <w:tcPr>
            <w:tcW w:w="0" w:type="auto"/>
            <w:vAlign w:val="center"/>
            <w:hideMark/>
          </w:tcPr>
          <w:p w14:paraId="22A3937F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Problemas financeiros ou operacionais da contratada</w:t>
            </w:r>
          </w:p>
        </w:tc>
        <w:tc>
          <w:tcPr>
            <w:tcW w:w="0" w:type="auto"/>
            <w:vAlign w:val="center"/>
            <w:hideMark/>
          </w:tcPr>
          <w:p w14:paraId="785E412E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52F77DF1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BA766AE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601B2323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Análise de qualificação econômico-financeira</w:t>
            </w:r>
          </w:p>
        </w:tc>
        <w:tc>
          <w:tcPr>
            <w:tcW w:w="1618" w:type="dxa"/>
            <w:vAlign w:val="center"/>
            <w:hideMark/>
          </w:tcPr>
          <w:p w14:paraId="0C1FCE5C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Aplicação de penalidades e convocação do segundo colocado</w:t>
            </w:r>
          </w:p>
        </w:tc>
      </w:tr>
      <w:tr w:rsidR="006A30AE" w:rsidRPr="006A30AE" w14:paraId="7E6473E8" w14:textId="77777777" w:rsidTr="006A30AE">
        <w:trPr>
          <w:tblCellSpacing w:w="15" w:type="dxa"/>
        </w:trPr>
        <w:tc>
          <w:tcPr>
            <w:tcW w:w="274" w:type="dxa"/>
            <w:vAlign w:val="center"/>
            <w:hideMark/>
          </w:tcPr>
          <w:p w14:paraId="1395BB1E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72383620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Entrega fora do prazo</w:t>
            </w:r>
          </w:p>
        </w:tc>
        <w:tc>
          <w:tcPr>
            <w:tcW w:w="0" w:type="auto"/>
            <w:vAlign w:val="center"/>
            <w:hideMark/>
          </w:tcPr>
          <w:p w14:paraId="71816DB9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Logística inadequada do fornecedor</w:t>
            </w:r>
          </w:p>
        </w:tc>
        <w:tc>
          <w:tcPr>
            <w:tcW w:w="0" w:type="auto"/>
            <w:vAlign w:val="center"/>
            <w:hideMark/>
          </w:tcPr>
          <w:p w14:paraId="0D5B350A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7F0E8A95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6BE7810B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2B4E7A35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Estabelecer prazos realistas e cláusulas contratuais claras</w:t>
            </w:r>
          </w:p>
        </w:tc>
        <w:tc>
          <w:tcPr>
            <w:tcW w:w="1618" w:type="dxa"/>
            <w:vAlign w:val="center"/>
            <w:hideMark/>
          </w:tcPr>
          <w:p w14:paraId="7CB31CCA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Notificação e aplicação de penalidades</w:t>
            </w:r>
          </w:p>
        </w:tc>
      </w:tr>
      <w:tr w:rsidR="006A30AE" w:rsidRPr="006A30AE" w14:paraId="4F08D654" w14:textId="77777777" w:rsidTr="006A30AE">
        <w:trPr>
          <w:tblCellSpacing w:w="15" w:type="dxa"/>
        </w:trPr>
        <w:tc>
          <w:tcPr>
            <w:tcW w:w="274" w:type="dxa"/>
            <w:vAlign w:val="center"/>
            <w:hideMark/>
          </w:tcPr>
          <w:p w14:paraId="6EBF754D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42040C13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Falta de planejamento de demanda</w:t>
            </w:r>
          </w:p>
        </w:tc>
        <w:tc>
          <w:tcPr>
            <w:tcW w:w="0" w:type="auto"/>
            <w:vAlign w:val="center"/>
            <w:hideMark/>
          </w:tcPr>
          <w:p w14:paraId="30500D8B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Estimativa incorreta de consumo</w:t>
            </w:r>
          </w:p>
        </w:tc>
        <w:tc>
          <w:tcPr>
            <w:tcW w:w="0" w:type="auto"/>
            <w:vAlign w:val="center"/>
            <w:hideMark/>
          </w:tcPr>
          <w:p w14:paraId="0A2462C5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30EDC7CE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D16F211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645153E9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Levantamento histórico de consumo</w:t>
            </w:r>
          </w:p>
        </w:tc>
        <w:tc>
          <w:tcPr>
            <w:tcW w:w="1618" w:type="dxa"/>
            <w:vAlign w:val="center"/>
            <w:hideMark/>
          </w:tcPr>
          <w:p w14:paraId="1F0CF467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Aditivo contratual ou nova contratação emergencial</w:t>
            </w:r>
          </w:p>
        </w:tc>
      </w:tr>
      <w:tr w:rsidR="006A30AE" w:rsidRPr="006A30AE" w14:paraId="1BC17A3E" w14:textId="77777777" w:rsidTr="006A30AE">
        <w:trPr>
          <w:tblCellSpacing w:w="15" w:type="dxa"/>
        </w:trPr>
        <w:tc>
          <w:tcPr>
            <w:tcW w:w="274" w:type="dxa"/>
            <w:vAlign w:val="center"/>
            <w:hideMark/>
          </w:tcPr>
          <w:p w14:paraId="21133639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7913FD26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Impugnações ao edital</w:t>
            </w:r>
          </w:p>
        </w:tc>
        <w:tc>
          <w:tcPr>
            <w:tcW w:w="0" w:type="auto"/>
            <w:vAlign w:val="center"/>
            <w:hideMark/>
          </w:tcPr>
          <w:p w14:paraId="0EE38FD9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Falhas ou inconsistências no instrumento convocatório</w:t>
            </w:r>
          </w:p>
        </w:tc>
        <w:tc>
          <w:tcPr>
            <w:tcW w:w="0" w:type="auto"/>
            <w:vAlign w:val="center"/>
            <w:hideMark/>
          </w:tcPr>
          <w:p w14:paraId="4B1220D1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1181D97B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3D80F835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17BEEFC2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Revisão jurídica prévia</w:t>
            </w:r>
          </w:p>
        </w:tc>
        <w:tc>
          <w:tcPr>
            <w:tcW w:w="1618" w:type="dxa"/>
            <w:vAlign w:val="center"/>
            <w:hideMark/>
          </w:tcPr>
          <w:p w14:paraId="1300AB8A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Ajustes no edital e reabertura de prazo</w:t>
            </w:r>
          </w:p>
        </w:tc>
      </w:tr>
      <w:tr w:rsidR="006A30AE" w:rsidRPr="006A30AE" w14:paraId="72FC2CA3" w14:textId="77777777" w:rsidTr="006A30AE">
        <w:trPr>
          <w:tblCellSpacing w:w="15" w:type="dxa"/>
        </w:trPr>
        <w:tc>
          <w:tcPr>
            <w:tcW w:w="274" w:type="dxa"/>
            <w:vAlign w:val="center"/>
            <w:hideMark/>
          </w:tcPr>
          <w:p w14:paraId="687B5D56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14:paraId="5FB88AA6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Fracasso da licitação (deserta ou fracassada)</w:t>
            </w:r>
          </w:p>
        </w:tc>
        <w:tc>
          <w:tcPr>
            <w:tcW w:w="0" w:type="auto"/>
            <w:vAlign w:val="center"/>
            <w:hideMark/>
          </w:tcPr>
          <w:p w14:paraId="45ABFD69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Baixa competitividade ou condições inadequadas</w:t>
            </w:r>
          </w:p>
        </w:tc>
        <w:tc>
          <w:tcPr>
            <w:tcW w:w="0" w:type="auto"/>
            <w:vAlign w:val="center"/>
            <w:hideMark/>
          </w:tcPr>
          <w:p w14:paraId="72258FB1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26065E62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5D5F8A6D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354E539C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Divulgação ampla e condições atrativas</w:t>
            </w:r>
          </w:p>
        </w:tc>
        <w:tc>
          <w:tcPr>
            <w:tcW w:w="1618" w:type="dxa"/>
            <w:vAlign w:val="center"/>
            <w:hideMark/>
          </w:tcPr>
          <w:p w14:paraId="18EA639D" w14:textId="77777777" w:rsidR="006A30AE" w:rsidRPr="006A30AE" w:rsidRDefault="006A30AE" w:rsidP="006A30A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A30AE">
              <w:rPr>
                <w:rFonts w:ascii="Arial" w:eastAsia="Arial" w:hAnsi="Arial" w:cs="Arial"/>
                <w:sz w:val="24"/>
                <w:szCs w:val="24"/>
              </w:rPr>
              <w:t>Revisão do processo e nova licitação</w:t>
            </w:r>
          </w:p>
        </w:tc>
      </w:tr>
    </w:tbl>
    <w:p w14:paraId="2997DA5A" w14:textId="745C9F83" w:rsidR="00BB3816" w:rsidRDefault="00BB3816" w:rsidP="008146D0">
      <w:pPr>
        <w:rPr>
          <w:rFonts w:ascii="Arial" w:eastAsia="Arial" w:hAnsi="Arial" w:cs="Arial"/>
          <w:sz w:val="24"/>
          <w:szCs w:val="24"/>
        </w:rPr>
      </w:pPr>
    </w:p>
    <w:p w14:paraId="2C8C5C5B" w14:textId="2A71BAA1" w:rsidR="008146D0" w:rsidRPr="00720B78" w:rsidRDefault="002855CD" w:rsidP="00720B78">
      <w:pPr>
        <w:suppressAutoHyphens w:val="0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Belo Jardim, </w:t>
      </w:r>
      <w:r w:rsidR="006A30AE">
        <w:rPr>
          <w:rFonts w:ascii="Arial" w:eastAsia="Times New Roman" w:hAnsi="Arial" w:cs="Arial"/>
          <w:sz w:val="24"/>
          <w:szCs w:val="24"/>
          <w:lang w:eastAsia="pt-BR"/>
        </w:rPr>
        <w:t>05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</w:t>
      </w:r>
      <w:r w:rsidR="006A30AE">
        <w:rPr>
          <w:rFonts w:ascii="Arial" w:eastAsia="Times New Roman" w:hAnsi="Arial" w:cs="Arial"/>
          <w:sz w:val="24"/>
          <w:szCs w:val="24"/>
          <w:lang w:eastAsia="pt-BR"/>
        </w:rPr>
        <w:t>maio</w:t>
      </w:r>
      <w:r w:rsidRPr="002855CD">
        <w:rPr>
          <w:rFonts w:ascii="Arial" w:eastAsia="Times New Roman" w:hAnsi="Arial" w:cs="Arial"/>
          <w:sz w:val="24"/>
          <w:szCs w:val="24"/>
          <w:lang w:eastAsia="pt-BR"/>
        </w:rPr>
        <w:t xml:space="preserve"> de 202</w:t>
      </w:r>
      <w:r>
        <w:rPr>
          <w:rFonts w:ascii="Arial" w:eastAsia="Times New Roman" w:hAnsi="Arial" w:cs="Arial"/>
          <w:sz w:val="24"/>
          <w:szCs w:val="24"/>
          <w:lang w:eastAsia="pt-BR"/>
        </w:rPr>
        <w:t>6</w:t>
      </w:r>
    </w:p>
    <w:p w14:paraId="7C55B341" w14:textId="77777777" w:rsidR="00BB08F2" w:rsidRDefault="00BB08F2" w:rsidP="00BB3816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407ADF4D" w14:textId="77777777" w:rsidR="00BB08F2" w:rsidRDefault="00BB08F2" w:rsidP="00BB3816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41A06C96" w14:textId="7ECAADCF" w:rsidR="00BB3816" w:rsidRDefault="00BB3816" w:rsidP="00BB3816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JOEDNA DE SOUZA SANTOS</w:t>
      </w:r>
    </w:p>
    <w:p w14:paraId="427291AE" w14:textId="3E2179B6" w:rsidR="00BB3816" w:rsidRDefault="00BB3816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 w:rsidRPr="009F0912">
        <w:rPr>
          <w:rFonts w:ascii="Arial" w:eastAsia="Arial" w:hAnsi="Arial" w:cs="Arial"/>
          <w:sz w:val="24"/>
          <w:szCs w:val="24"/>
        </w:rPr>
        <w:t xml:space="preserve">Secretária de </w:t>
      </w:r>
      <w:r>
        <w:rPr>
          <w:rFonts w:ascii="Arial" w:eastAsia="Arial" w:hAnsi="Arial" w:cs="Arial"/>
          <w:sz w:val="24"/>
          <w:szCs w:val="24"/>
        </w:rPr>
        <w:t>I</w:t>
      </w:r>
      <w:r w:rsidRPr="009F0912">
        <w:rPr>
          <w:rFonts w:ascii="Arial" w:eastAsia="Arial" w:hAnsi="Arial" w:cs="Arial"/>
          <w:sz w:val="24"/>
          <w:szCs w:val="24"/>
        </w:rPr>
        <w:t xml:space="preserve">nfraestrutura e </w:t>
      </w:r>
      <w:r>
        <w:rPr>
          <w:rFonts w:ascii="Arial" w:eastAsia="Arial" w:hAnsi="Arial" w:cs="Arial"/>
          <w:sz w:val="24"/>
          <w:szCs w:val="24"/>
        </w:rPr>
        <w:t>U</w:t>
      </w:r>
      <w:r w:rsidRPr="009F0912">
        <w:rPr>
          <w:rFonts w:ascii="Arial" w:eastAsia="Arial" w:hAnsi="Arial" w:cs="Arial"/>
          <w:sz w:val="24"/>
          <w:szCs w:val="24"/>
        </w:rPr>
        <w:t>rbanismo</w:t>
      </w:r>
    </w:p>
    <w:p w14:paraId="76A34F99" w14:textId="77777777" w:rsidR="00720B78" w:rsidRDefault="00720B78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4C2EB900" w14:textId="77777777" w:rsidR="00720B78" w:rsidRDefault="00720B78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2B125A22" w14:textId="5B404581" w:rsidR="00720B78" w:rsidRDefault="00720B78" w:rsidP="00720B78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THIAGO FERREIRA DINIZ</w:t>
      </w:r>
    </w:p>
    <w:p w14:paraId="7A189DE5" w14:textId="2C563A12" w:rsidR="00720B78" w:rsidRDefault="00720B78" w:rsidP="00720B78">
      <w:pPr>
        <w:spacing w:after="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Setor de Compras</w:t>
      </w:r>
    </w:p>
    <w:p w14:paraId="73DE1D2E" w14:textId="77777777" w:rsidR="00720B78" w:rsidRDefault="00720B78" w:rsidP="00BB3816">
      <w:pPr>
        <w:spacing w:after="0"/>
        <w:jc w:val="center"/>
        <w:rPr>
          <w:rFonts w:ascii="Arial" w:eastAsia="Arial" w:hAnsi="Arial" w:cs="Arial"/>
          <w:sz w:val="24"/>
          <w:szCs w:val="24"/>
        </w:rPr>
      </w:pPr>
    </w:p>
    <w:p w14:paraId="6D5B733E" w14:textId="77777777" w:rsidR="00BF37B3" w:rsidRPr="00BF37B3" w:rsidRDefault="00BF37B3" w:rsidP="00BF37B3">
      <w:pPr>
        <w:rPr>
          <w:rFonts w:ascii="Times New Roman" w:eastAsia="Times New Roman" w:hAnsi="Times New Roman"/>
          <w:sz w:val="24"/>
          <w:szCs w:val="24"/>
          <w:lang w:eastAsia="pt-BR"/>
        </w:rPr>
      </w:pPr>
    </w:p>
    <w:sectPr w:rsidR="00BF37B3" w:rsidRPr="00BF37B3" w:rsidSect="002855CD">
      <w:headerReference w:type="default" r:id="rId8"/>
      <w:footerReference w:type="default" r:id="rId9"/>
      <w:pgSz w:w="11906" w:h="16838"/>
      <w:pgMar w:top="1417" w:right="1701" w:bottom="1417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3620E" w14:textId="77777777" w:rsidR="0072099C" w:rsidRDefault="0072099C">
      <w:pPr>
        <w:spacing w:after="0" w:line="240" w:lineRule="auto"/>
      </w:pPr>
      <w:r>
        <w:separator/>
      </w:r>
    </w:p>
  </w:endnote>
  <w:endnote w:type="continuationSeparator" w:id="0">
    <w:p w14:paraId="2946617A" w14:textId="77777777" w:rsidR="0072099C" w:rsidRDefault="00720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0E45F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Av. Deputado José Mendonça Bezerra, nº 220 – Centro - Belo Jardim – PE.</w:t>
    </w:r>
  </w:p>
  <w:p w14:paraId="5815D85E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CEP: 55150-005 - CNPJ: 10.260.222/0001-05</w:t>
    </w:r>
  </w:p>
  <w:p w14:paraId="591A6F67" w14:textId="77777777" w:rsidR="006666B1" w:rsidRDefault="006B3CCB">
    <w:pPr>
      <w:pStyle w:val="Rodap"/>
      <w:jc w:val="center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  <w:lang w:val="en-US"/>
      </w:rPr>
      <w:t>www.belojardim.pe.gov.br</w:t>
    </w:r>
  </w:p>
  <w:p w14:paraId="6630B9C7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  <w:p w14:paraId="7653EEB1" w14:textId="77777777" w:rsidR="006666B1" w:rsidRDefault="006666B1">
    <w:pPr>
      <w:pStyle w:val="Rodap"/>
      <w:jc w:val="center"/>
      <w:rPr>
        <w:rFonts w:ascii="Times New Roman" w:hAnsi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5FBB3" w14:textId="77777777" w:rsidR="0072099C" w:rsidRDefault="0072099C">
      <w:pPr>
        <w:spacing w:after="0" w:line="240" w:lineRule="auto"/>
      </w:pPr>
      <w:r>
        <w:separator/>
      </w:r>
    </w:p>
  </w:footnote>
  <w:footnote w:type="continuationSeparator" w:id="0">
    <w:p w14:paraId="09EB7187" w14:textId="77777777" w:rsidR="0072099C" w:rsidRDefault="00720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D2AE2" w14:textId="47AD9B25" w:rsidR="006666B1" w:rsidRDefault="00F01131">
    <w:pPr>
      <w:pStyle w:val="Cabealho"/>
      <w:jc w:val="center"/>
      <w:rPr>
        <w:rFonts w:ascii="Arial" w:hAnsi="Arial" w:cs="Arial"/>
        <w:color w:val="333399"/>
        <w:sz w:val="17"/>
        <w:szCs w:val="17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A25B254" wp14:editId="193F4A67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2827587" cy="632379"/>
          <wp:effectExtent l="0" t="0" r="0" b="0"/>
          <wp:wrapNone/>
          <wp:docPr id="3" name="Imagem 3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7587" cy="632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A2E94E" w14:textId="77777777" w:rsidR="006666B1" w:rsidRDefault="006666B1">
    <w:pPr>
      <w:pStyle w:val="Cabealho"/>
      <w:jc w:val="center"/>
      <w:rPr>
        <w:rFonts w:ascii="Arial" w:hAnsi="Arial" w:cs="Arial"/>
        <w:color w:val="333399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718"/>
    <w:multiLevelType w:val="multilevel"/>
    <w:tmpl w:val="8042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4964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B1"/>
    <w:rsid w:val="00034256"/>
    <w:rsid w:val="00044D69"/>
    <w:rsid w:val="000B3519"/>
    <w:rsid w:val="000E4AA4"/>
    <w:rsid w:val="001050BC"/>
    <w:rsid w:val="00195039"/>
    <w:rsid w:val="001A1146"/>
    <w:rsid w:val="001D5501"/>
    <w:rsid w:val="001E0B29"/>
    <w:rsid w:val="00274FE5"/>
    <w:rsid w:val="002855CD"/>
    <w:rsid w:val="002A3D36"/>
    <w:rsid w:val="002B4835"/>
    <w:rsid w:val="0031495E"/>
    <w:rsid w:val="003E3693"/>
    <w:rsid w:val="003F34D6"/>
    <w:rsid w:val="00424F74"/>
    <w:rsid w:val="004404E8"/>
    <w:rsid w:val="00462FC4"/>
    <w:rsid w:val="004A6B5D"/>
    <w:rsid w:val="004D7010"/>
    <w:rsid w:val="004E5E2A"/>
    <w:rsid w:val="004F7430"/>
    <w:rsid w:val="0059782F"/>
    <w:rsid w:val="005B2554"/>
    <w:rsid w:val="00621D60"/>
    <w:rsid w:val="006666B1"/>
    <w:rsid w:val="006A30AE"/>
    <w:rsid w:val="006B3CCB"/>
    <w:rsid w:val="00707DC6"/>
    <w:rsid w:val="0072099C"/>
    <w:rsid w:val="00720B78"/>
    <w:rsid w:val="007568A3"/>
    <w:rsid w:val="008146D0"/>
    <w:rsid w:val="00841E0A"/>
    <w:rsid w:val="008E1BAE"/>
    <w:rsid w:val="009267BE"/>
    <w:rsid w:val="0096082D"/>
    <w:rsid w:val="00983808"/>
    <w:rsid w:val="00A45187"/>
    <w:rsid w:val="00AF3F2E"/>
    <w:rsid w:val="00B259A8"/>
    <w:rsid w:val="00B403B2"/>
    <w:rsid w:val="00B50CDF"/>
    <w:rsid w:val="00B64306"/>
    <w:rsid w:val="00B85EA6"/>
    <w:rsid w:val="00BB08F2"/>
    <w:rsid w:val="00BB3816"/>
    <w:rsid w:val="00BF37B3"/>
    <w:rsid w:val="00C35FAA"/>
    <w:rsid w:val="00CC6E5A"/>
    <w:rsid w:val="00CE27F2"/>
    <w:rsid w:val="00D242D8"/>
    <w:rsid w:val="00D3645C"/>
    <w:rsid w:val="00D73BBD"/>
    <w:rsid w:val="00DB6826"/>
    <w:rsid w:val="00DD43DA"/>
    <w:rsid w:val="00DF2000"/>
    <w:rsid w:val="00E13C08"/>
    <w:rsid w:val="00E277E9"/>
    <w:rsid w:val="00E309E8"/>
    <w:rsid w:val="00E33130"/>
    <w:rsid w:val="00E475D8"/>
    <w:rsid w:val="00F01131"/>
    <w:rsid w:val="00F66130"/>
    <w:rsid w:val="00F814D6"/>
    <w:rsid w:val="00FC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657E3"/>
  <w15:docId w15:val="{84C33B6E-77F1-48A4-8A31-6CAEA9F6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D97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link w:val="Ttulo2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2855CD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2B756E"/>
  </w:style>
  <w:style w:type="character" w:customStyle="1" w:styleId="RodapChar">
    <w:name w:val="Rodapé Char"/>
    <w:basedOn w:val="Fontepargpadro"/>
    <w:link w:val="Rodap"/>
    <w:uiPriority w:val="99"/>
    <w:qFormat/>
    <w:rsid w:val="002B756E"/>
  </w:style>
  <w:style w:type="character" w:customStyle="1" w:styleId="TextodebaloChar">
    <w:name w:val="Texto de balão Char"/>
    <w:link w:val="Textodebalo"/>
    <w:uiPriority w:val="99"/>
    <w:semiHidden/>
    <w:qFormat/>
    <w:rsid w:val="00125E92"/>
    <w:rPr>
      <w:rFonts w:ascii="Tahoma" w:hAnsi="Tahoma" w:cs="Tahoma"/>
      <w:sz w:val="16"/>
      <w:szCs w:val="16"/>
      <w:lang w:eastAsia="en-US"/>
    </w:rPr>
  </w:style>
  <w:style w:type="character" w:customStyle="1" w:styleId="LinkdaInternet">
    <w:name w:val="Link da Internet"/>
    <w:uiPriority w:val="99"/>
    <w:unhideWhenUsed/>
    <w:rsid w:val="00021507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A10924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2B756E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25E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B109B"/>
    <w:pPr>
      <w:ind w:left="708"/>
    </w:pPr>
  </w:style>
  <w:style w:type="paragraph" w:styleId="NormalWeb">
    <w:name w:val="Normal (Web)"/>
    <w:basedOn w:val="Normal"/>
    <w:uiPriority w:val="99"/>
    <w:unhideWhenUsed/>
    <w:qFormat/>
    <w:rsid w:val="00454F94"/>
    <w:pPr>
      <w:spacing w:beforeAutospacing="1" w:afterAutospacing="1" w:line="240" w:lineRule="auto"/>
    </w:pPr>
    <w:rPr>
      <w:rFonts w:eastAsiaTheme="minorHAnsi" w:cs="Calibri"/>
      <w:lang w:eastAsia="pt-BR"/>
    </w:rPr>
  </w:style>
  <w:style w:type="paragraph" w:customStyle="1" w:styleId="western">
    <w:name w:val="western"/>
    <w:basedOn w:val="Normal"/>
    <w:qFormat/>
    <w:rsid w:val="00360E31"/>
    <w:pPr>
      <w:spacing w:beforeAutospacing="1" w:after="142" w:line="288" w:lineRule="auto"/>
    </w:pPr>
    <w:rPr>
      <w:rFonts w:eastAsia="Times New Roman" w:cs="Calibri"/>
      <w:color w:val="00000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2855CD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Ttulo3Char">
    <w:name w:val="Título 3 Char"/>
    <w:basedOn w:val="Fontepargpadro"/>
    <w:link w:val="Ttulo3"/>
    <w:uiPriority w:val="9"/>
    <w:rsid w:val="002855CD"/>
    <w:rPr>
      <w:rFonts w:ascii="Times New Roman" w:eastAsia="Times New Roman" w:hAnsi="Times New Roman"/>
      <w:b/>
      <w:bCs/>
      <w:sz w:val="27"/>
      <w:szCs w:val="27"/>
    </w:rPr>
  </w:style>
  <w:style w:type="character" w:styleId="Forte">
    <w:name w:val="Strong"/>
    <w:basedOn w:val="Fontepargpadro"/>
    <w:uiPriority w:val="22"/>
    <w:qFormat/>
    <w:rsid w:val="002855CD"/>
    <w:rPr>
      <w:b/>
      <w:bCs/>
    </w:rPr>
  </w:style>
  <w:style w:type="character" w:styleId="nfase">
    <w:name w:val="Emphasis"/>
    <w:basedOn w:val="Fontepargpadro"/>
    <w:uiPriority w:val="20"/>
    <w:qFormat/>
    <w:rsid w:val="002855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59D64-95F8-4EC9-BF70-6E894944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407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Belo Jardim, em 10 de junho de 2008</vt:lpstr>
    </vt:vector>
  </TitlesOfParts>
  <Company>GG Galvão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Belo Jardim, em 10 de junho de 2008</dc:title>
  <dc:subject/>
  <dc:creator>Gilvam George Galvão Cavalcante</dc:creator>
  <dc:description/>
  <cp:lastModifiedBy>Belo Jardim</cp:lastModifiedBy>
  <cp:revision>13</cp:revision>
  <cp:lastPrinted>2024-08-05T11:51:00Z</cp:lastPrinted>
  <dcterms:created xsi:type="dcterms:W3CDTF">2025-01-06T12:04:00Z</dcterms:created>
  <dcterms:modified xsi:type="dcterms:W3CDTF">2026-05-05T19:53:00Z</dcterms:modified>
  <dc:language>pt-BR</dc:language>
</cp:coreProperties>
</file>